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0B13" w14:textId="531FA354" w:rsidR="00F31752" w:rsidRPr="00604D45" w:rsidRDefault="001B59B9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</w:pP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Historically, </w:t>
      </w:r>
      <w:r w:rsidR="00D301A5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to assess performance, HMS utilized data submitted during the last quarter of a given year to allow sites to improve </w:t>
      </w:r>
      <w:r w:rsidR="00F760D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over the course of the year </w:t>
      </w:r>
      <w:r w:rsidR="00D86A9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without impacting the</w:t>
      </w:r>
      <w:r w:rsidR="00F760D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ir</w:t>
      </w:r>
      <w:r w:rsidR="00D86A9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pay for performance payment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. With this </w:t>
      </w:r>
      <w:r w:rsidR="00540052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method, lookin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g at one quarter of data result</w:t>
      </w:r>
      <w:r w:rsidR="002A7D3D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ed</w:t>
      </w:r>
      <w:r w:rsidR="00540052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in unstable and unreliable estimates of a hospital’s true performance. </w:t>
      </w:r>
      <w:r w:rsidR="004800C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To mitigate this issue,</w:t>
      </w:r>
      <w:r w:rsidR="00F33144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the</w:t>
      </w:r>
      <w:r w:rsidR="00D86A9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HMS Coordinating Center</w:t>
      </w:r>
      <w:r w:rsidR="00B43CC5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and the Data, Design, and Publications Committee (DDP)</w:t>
      </w:r>
      <w:r w:rsidR="00D86A9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reviewed 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this </w:t>
      </w:r>
      <w:r w:rsidR="004800C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approach and discussed </w:t>
      </w:r>
      <w:r w:rsidR="00D86A9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potential </w:t>
      </w:r>
      <w:r w:rsidR="00F33144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solutions</w:t>
      </w:r>
      <w:r w:rsidR="00D86A9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with other 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Blue Cross Blue Shield of Michigan (</w:t>
      </w:r>
      <w:r w:rsidR="00D86A9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BCBSM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)</w:t>
      </w:r>
      <w:r w:rsidR="00D86A9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="00DF6282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quality </w:t>
      </w:r>
      <w:r w:rsidR="004800C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collaboratives, </w:t>
      </w:r>
      <w:r w:rsidR="00D86A9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statistical/methodologic experts, </w:t>
      </w:r>
      <w:r w:rsidR="004800C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and reviewed national approaches</w:t>
      </w:r>
      <w:r w:rsidR="00F33144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="00B43CC5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for</w:t>
      </w:r>
      <w:r w:rsidR="00F33144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performance assessment</w:t>
      </w:r>
      <w:r w:rsidR="004800C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(</w:t>
      </w:r>
      <w:r w:rsidR="003142A3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i.e.,</w:t>
      </w:r>
      <w:r w:rsidR="004800C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Centers for Medicare &amp; Medicaid Services</w:t>
      </w:r>
      <w:r w:rsidR="007C0E79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(CMS)</w:t>
      </w:r>
      <w:r w:rsidR="004800C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). </w:t>
      </w:r>
      <w:r w:rsidR="00F33144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As an outcome of these discussions, the Coordinating Center developed</w:t>
      </w:r>
      <w:r w:rsidR="00B43CC5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a new</w:t>
      </w:r>
      <w:r w:rsidR="00FA0035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="00373900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method to assess hospital performance</w:t>
      </w:r>
      <w:r w:rsidR="003A5BD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="00F33144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similar to </w:t>
      </w:r>
      <w:r w:rsidR="00DC025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the way in which</w:t>
      </w:r>
      <w:r w:rsidR="00F33144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CMS assesses </w:t>
      </w:r>
      <w:r w:rsidR="003A5BD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hospital </w:t>
      </w:r>
      <w:r w:rsidR="00F33144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performance nationally. </w:t>
      </w:r>
      <w:r w:rsidR="009A1517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This method </w:t>
      </w:r>
      <w:r w:rsidR="002A7D3D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was</w:t>
      </w:r>
      <w:r w:rsidR="009A1517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approved by the HMS 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DDP</w:t>
      </w:r>
      <w:r w:rsidR="009A1517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subcommittee and 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BCBSM</w:t>
      </w:r>
      <w:r w:rsidR="004504C5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in 2018</w:t>
      </w:r>
      <w:r w:rsidR="009A1517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. </w:t>
      </w:r>
    </w:p>
    <w:p w14:paraId="6C8DB09D" w14:textId="5E2AEF01" w:rsidR="00373900" w:rsidRPr="00604D45" w:rsidRDefault="00373900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</w:pP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The </w:t>
      </w:r>
      <w:r w:rsidR="00DC025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method for obtaining each hospital’s 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adjusted </w:t>
      </w:r>
      <w:r w:rsidR="003A5BD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performance measurement 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utilizes all available data</w:t>
      </w:r>
      <w:r w:rsidR="00DC025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from</w:t>
      </w:r>
      <w:r w:rsidR="00C4215D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the most recent 4 quarters</w:t>
      </w:r>
      <w:r w:rsidR="00DC025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. The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collaborative-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wide 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average and collaborative-</w:t>
      </w:r>
      <w:r w:rsidR="00DC025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wide improvement rate, as well as</w:t>
      </w:r>
      <w:r w:rsidR="003A5BD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="00DC025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the average rate and improvement rate of each individual 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hospital</w:t>
      </w:r>
      <w:r w:rsidR="00DC025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are incorporated into the final adjusted rate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. Each hospital</w:t>
      </w:r>
      <w:r w:rsidR="00F760D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’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s adjusted </w:t>
      </w:r>
      <w:r w:rsidR="00DC025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rate</w:t>
      </w:r>
      <w:r w:rsidR="003A5BD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reflects </w:t>
      </w:r>
      <w:r w:rsidR="00E7052D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both</w:t>
      </w:r>
      <w:r w:rsidR="0067607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change in performance over</w:t>
      </w:r>
      <w:r w:rsidR="001B59B9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time and</w:t>
      </w:r>
      <w:r w:rsidR="0067607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="00E7052D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overall 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performance relative to the collaborative average</w:t>
      </w:r>
      <w:r w:rsidR="00E7052D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s. </w:t>
      </w:r>
      <w:r w:rsidR="00AD45DB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The adjusted performance is </w:t>
      </w:r>
      <w:r w:rsidR="0067607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a more stable and reliable estimate of each </w:t>
      </w:r>
      <w:r w:rsidR="00604D45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hospital’s</w:t>
      </w:r>
      <w:r w:rsidR="0067607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current performance, their performance relative to collaborative as a whole, and better reflects the improvement work each hospital is doing over a given performance year.</w:t>
      </w:r>
    </w:p>
    <w:p w14:paraId="12BD79A3" w14:textId="4735EC6C" w:rsidR="00A13E1F" w:rsidRPr="00604D45" w:rsidRDefault="001B59B9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</w:pP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Utilizing the adjusted method, t</w:t>
      </w:r>
      <w:r w:rsidR="006F4D44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here are</w:t>
      </w:r>
      <w:r w:rsidR="0067607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="00A13E1F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severa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l ways for hospitals to improve</w:t>
      </w:r>
      <w:r w:rsidR="0067607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their performance scores over time</w:t>
      </w: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. </w:t>
      </w:r>
      <w:r w:rsidR="00A13E1F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These include:</w:t>
      </w:r>
    </w:p>
    <w:p w14:paraId="09F02CC6" w14:textId="0D347825" w:rsidR="00A13E1F" w:rsidRPr="00604D45" w:rsidRDefault="00A13E1F" w:rsidP="00A13E1F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</w:pP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Continued high performance</w:t>
      </w:r>
      <w:r w:rsidR="00E436E1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="0067607E"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for hospitals exceeding current performance thresholds</w:t>
      </w:r>
    </w:p>
    <w:p w14:paraId="5DF25124" w14:textId="77777777" w:rsidR="00A13E1F" w:rsidRPr="00604D45" w:rsidRDefault="00A13E1F" w:rsidP="00A13E1F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</w:pP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Improvements over time</w:t>
      </w:r>
    </w:p>
    <w:p w14:paraId="2AE4850E" w14:textId="3C368931" w:rsidR="00F760DE" w:rsidRPr="00604D45" w:rsidRDefault="00A13E1F" w:rsidP="00FA0035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</w:pPr>
      <w:r w:rsidRPr="00604D45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  <w:t>High performance in a majority of quarters</w:t>
      </w:r>
    </w:p>
    <w:p w14:paraId="41B55FFC" w14:textId="193D6DD9" w:rsidR="000C4CE1" w:rsidRDefault="00712C6B" w:rsidP="00771263">
      <w:pPr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</w:pPr>
      <w:r w:rsidRPr="00604D45"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  <w:t xml:space="preserve">The following table details </w:t>
      </w:r>
      <w:r w:rsidR="009020B8" w:rsidRPr="00604D45"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  <w:t xml:space="preserve">the </w:t>
      </w:r>
      <w:r w:rsidRPr="00604D45"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  <w:t>method of assessm</w:t>
      </w:r>
      <w:r w:rsidR="00AD45DB" w:rsidRPr="00604D45"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  <w:t xml:space="preserve">ent </w:t>
      </w:r>
      <w:r w:rsidR="009020B8" w:rsidRPr="00604D45"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  <w:t xml:space="preserve">used for each measure on the </w:t>
      </w:r>
      <w:r w:rsidR="007246E9" w:rsidRPr="00604D45"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  <w:t>202</w:t>
      </w:r>
      <w:r w:rsidR="00737796"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  <w:t>5</w:t>
      </w:r>
      <w:r w:rsidR="007246E9" w:rsidRPr="00604D45"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  <w:t xml:space="preserve"> </w:t>
      </w:r>
      <w:r w:rsidR="00AD45DB" w:rsidRPr="00604D45">
        <w:rPr>
          <w:rFonts w:asciiTheme="majorHAnsi" w:eastAsiaTheme="majorEastAsia" w:hAnsiTheme="majorHAnsi" w:cstheme="majorBidi"/>
          <w:b/>
          <w:color w:val="323E4F" w:themeColor="text2" w:themeShade="BF"/>
          <w:spacing w:val="5"/>
          <w:kern w:val="28"/>
          <w:sz w:val="20"/>
          <w:szCs w:val="20"/>
        </w:rPr>
        <w:t>Performance Index scorecard:</w:t>
      </w:r>
    </w:p>
    <w:tbl>
      <w:tblPr>
        <w:tblStyle w:val="LightList-Accent3"/>
        <w:tblW w:w="10975" w:type="dxa"/>
        <w:jc w:val="center"/>
        <w:tblLook w:val="0620" w:firstRow="1" w:lastRow="0" w:firstColumn="0" w:lastColumn="0" w:noHBand="1" w:noVBand="1"/>
      </w:tblPr>
      <w:tblGrid>
        <w:gridCol w:w="1525"/>
        <w:gridCol w:w="4230"/>
        <w:gridCol w:w="2520"/>
        <w:gridCol w:w="2700"/>
      </w:tblGrid>
      <w:tr w:rsidR="00604D45" w14:paraId="090B550F" w14:textId="77777777" w:rsidTr="004C1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489460" w14:textId="77777777" w:rsidR="00604D45" w:rsidRPr="00553607" w:rsidRDefault="00604D45" w:rsidP="004C1AB6">
            <w:pPr>
              <w:jc w:val="center"/>
              <w:rPr>
                <w:color w:val="000000" w:themeColor="text1"/>
              </w:rPr>
            </w:pPr>
            <w:r w:rsidRPr="00553607">
              <w:rPr>
                <w:color w:val="000000" w:themeColor="text1"/>
              </w:rPr>
              <w:t>Measure #**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70E25F" w14:textId="77777777" w:rsidR="00604D45" w:rsidRPr="00553607" w:rsidRDefault="00604D45" w:rsidP="004C1AB6">
            <w:pPr>
              <w:jc w:val="center"/>
              <w:rPr>
                <w:color w:val="000000" w:themeColor="text1"/>
              </w:rPr>
            </w:pPr>
            <w:r w:rsidRPr="00553607">
              <w:rPr>
                <w:color w:val="000000" w:themeColor="text1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2A91287" w14:textId="0C7FA3CD" w:rsidR="00604D45" w:rsidRPr="00553607" w:rsidRDefault="00604D45" w:rsidP="004C1A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C2695A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Assessment Period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38B1D7" w14:textId="01DB3E4A" w:rsidR="00604D45" w:rsidRPr="00553607" w:rsidRDefault="00604D45" w:rsidP="004C1AB6">
            <w:pPr>
              <w:jc w:val="center"/>
              <w:rPr>
                <w:color w:val="000000" w:themeColor="text1"/>
              </w:rPr>
            </w:pPr>
            <w:r w:rsidRPr="00553607">
              <w:rPr>
                <w:color w:val="000000" w:themeColor="text1"/>
              </w:rPr>
              <w:t>202</w:t>
            </w:r>
            <w:r w:rsidR="00C2695A">
              <w:rPr>
                <w:color w:val="000000" w:themeColor="text1"/>
              </w:rPr>
              <w:t>6</w:t>
            </w:r>
            <w:r w:rsidRPr="00553607">
              <w:rPr>
                <w:color w:val="000000" w:themeColor="text1"/>
              </w:rPr>
              <w:t xml:space="preserve"> Method of Assessment</w:t>
            </w:r>
          </w:p>
        </w:tc>
      </w:tr>
      <w:tr w:rsidR="00604D45" w14:paraId="001AD97F" w14:textId="77777777" w:rsidTr="00604D45">
        <w:trPr>
          <w:trHeight w:val="24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CA9" w14:textId="31C57020" w:rsidR="00604D45" w:rsidRPr="00553607" w:rsidRDefault="00737796" w:rsidP="00604D45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951" w14:textId="13604546" w:rsidR="00604D45" w:rsidRPr="00553607" w:rsidRDefault="00C2695A" w:rsidP="004C1AB6">
            <w:pP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Increase Use of Appropriate Antibiotic Treatment Duration (3-5 Days) in Uncomplicated CAP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CB90" w14:textId="77777777" w:rsidR="00604D45" w:rsidRDefault="00604D45" w:rsidP="004C1AB6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ABX Discharge Dates:</w:t>
            </w:r>
          </w:p>
          <w:p w14:paraId="32212390" w14:textId="4319874C" w:rsidR="00604D45" w:rsidRPr="00553607" w:rsidRDefault="00C2695A" w:rsidP="004C1AB6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5/7/26-7/29/26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1365" w14:textId="77777777" w:rsidR="00604D45" w:rsidRPr="00553607" w:rsidRDefault="00604D45" w:rsidP="004C1AB6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 w:rsidRPr="00553607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Adjusted</w:t>
            </w:r>
          </w:p>
        </w:tc>
      </w:tr>
      <w:tr w:rsidR="00604D45" w14:paraId="05E6268C" w14:textId="77777777" w:rsidTr="00604D45">
        <w:trPr>
          <w:trHeight w:val="27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B69" w14:textId="3FE4006A" w:rsidR="00604D45" w:rsidRPr="00553607" w:rsidRDefault="00C2695A" w:rsidP="00604D45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D4E" w14:textId="64701C91" w:rsidR="00604D45" w:rsidRPr="00553607" w:rsidRDefault="00C2695A" w:rsidP="004C1AB6">
            <w:pP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Increase Antibiotics Delivered within 3 Hours of Hospital Arrival for Sepsis Cases with Hypotension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F49B" w14:textId="0F3B0A1C" w:rsidR="00604D45" w:rsidRPr="00553607" w:rsidRDefault="00C05DBB" w:rsidP="004C1AB6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 xml:space="preserve">Sepsis Discharge Dates: </w:t>
            </w:r>
            <w:r w:rsidR="00C2695A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5/7/26-7/29/26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9F33" w14:textId="77777777" w:rsidR="00604D45" w:rsidRPr="00553607" w:rsidRDefault="00604D45" w:rsidP="004C1AB6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 w:rsidRPr="00553607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Adjusted</w:t>
            </w:r>
          </w:p>
        </w:tc>
      </w:tr>
      <w:tr w:rsidR="00604D45" w14:paraId="7869F086" w14:textId="77777777" w:rsidTr="00604D45">
        <w:trPr>
          <w:trHeight w:val="27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731E" w14:textId="6028FAD7" w:rsidR="00604D45" w:rsidRPr="00553607" w:rsidRDefault="00C2695A" w:rsidP="00604D45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30D2" w14:textId="034968CC" w:rsidR="00604D45" w:rsidRPr="00553607" w:rsidRDefault="00C05DBB" w:rsidP="004C1AB6">
            <w:pP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Increase Discharge/Post-Discharge Care Coordination for Sepsis Cases Discharged to Home-like Setting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C9DA" w14:textId="73DE5EA8" w:rsidR="00604D45" w:rsidRPr="00553607" w:rsidRDefault="00981D8B" w:rsidP="004C1AB6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 xml:space="preserve">Sepsis Discharge Dates: </w:t>
            </w:r>
            <w:r w:rsidR="00C2695A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5/7/26-7/29/26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5056" w14:textId="24DDACE5" w:rsidR="00604D45" w:rsidRPr="00553607" w:rsidRDefault="00C05DBB" w:rsidP="004C1AB6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 w:rsidRPr="00553607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Adjusted</w:t>
            </w:r>
          </w:p>
        </w:tc>
      </w:tr>
      <w:tr w:rsidR="00604D45" w14:paraId="04F14A0D" w14:textId="77777777" w:rsidTr="004E1E58">
        <w:trPr>
          <w:trHeight w:val="61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2A36" w14:textId="3A574759" w:rsidR="00604D45" w:rsidRPr="00553607" w:rsidRDefault="00C05DBB" w:rsidP="00604D45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1E4" w14:textId="34E23BA2" w:rsidR="00604D45" w:rsidRPr="00553607" w:rsidRDefault="00C05DBB" w:rsidP="004C1AB6">
            <w:pP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Increase Use of Balanced Solutions in Patients with Sepsis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B1E" w14:textId="5A2E6573" w:rsidR="00604D45" w:rsidRPr="00553607" w:rsidRDefault="00981D8B" w:rsidP="004C1AB6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 xml:space="preserve">Sepsis Discharge Dates: </w:t>
            </w:r>
            <w:r w:rsidR="00C2695A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5/7/26-7/29/26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05B8" w14:textId="66CC0FE8" w:rsidR="00604D45" w:rsidRPr="00553607" w:rsidRDefault="00C05DBB" w:rsidP="004C1AB6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 w:rsidRPr="00553607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Adjusted</w:t>
            </w:r>
          </w:p>
        </w:tc>
      </w:tr>
      <w:tr w:rsidR="00604D45" w14:paraId="3284A350" w14:textId="77777777" w:rsidTr="00981D8B">
        <w:trPr>
          <w:trHeight w:val="62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C132" w14:textId="14FD7F96" w:rsidR="00604D45" w:rsidRPr="00553607" w:rsidRDefault="00C05DBB" w:rsidP="00604D45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C</w:t>
            </w:r>
            <w:r w:rsidR="00604D45" w:rsidRPr="00604D45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*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77A" w14:textId="60DC85FD" w:rsidR="00604D45" w:rsidRPr="00553607" w:rsidRDefault="00737796" w:rsidP="00604D45">
            <w:pP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 w:rsidRPr="00553607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 xml:space="preserve">Reduce Use of Antibiotics in Patients with Asymptomatic Bacteriuria (ASB)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384" w14:textId="77777777" w:rsidR="00981D8B" w:rsidRDefault="00981D8B" w:rsidP="00981D8B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ABX Discharge Dates:</w:t>
            </w:r>
          </w:p>
          <w:p w14:paraId="689F54C4" w14:textId="55317873" w:rsidR="00604D45" w:rsidRPr="00553607" w:rsidRDefault="00C2695A" w:rsidP="00981D8B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5/7/26-7/29/26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CE0D" w14:textId="18B76592" w:rsidR="00604D45" w:rsidRPr="00553607" w:rsidRDefault="00604D45" w:rsidP="00604D45">
            <w:pPr>
              <w:jc w:val="center"/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</w:pPr>
            <w:r w:rsidRPr="00604D45">
              <w:rPr>
                <w:rFonts w:asciiTheme="majorHAnsi" w:eastAsiaTheme="majorEastAsia" w:hAnsiTheme="majorHAnsi" w:cstheme="majorBidi"/>
                <w:color w:val="323E4F" w:themeColor="text2" w:themeShade="BF"/>
                <w:spacing w:val="5"/>
                <w:kern w:val="28"/>
              </w:rPr>
              <w:t>Raw Collaborative Average</w:t>
            </w:r>
          </w:p>
        </w:tc>
      </w:tr>
    </w:tbl>
    <w:p w14:paraId="2D1C35CC" w14:textId="77777777" w:rsidR="00604D45" w:rsidRPr="00604D45" w:rsidRDefault="00604D45" w:rsidP="00771263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20"/>
          <w:szCs w:val="20"/>
        </w:rPr>
      </w:pPr>
    </w:p>
    <w:p w14:paraId="50323C94" w14:textId="150DEDC4" w:rsidR="00A13E1F" w:rsidRDefault="00A375E2" w:rsidP="00771263">
      <w:pPr>
        <w:spacing w:after="0" w:line="240" w:lineRule="auto"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18"/>
          <w:szCs w:val="18"/>
        </w:rPr>
      </w:pPr>
      <w:r w:rsidRPr="00A375E2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18"/>
          <w:szCs w:val="18"/>
        </w:rPr>
        <w:t xml:space="preserve">*Measure </w:t>
      </w:r>
      <w:r w:rsidR="00C05DBB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18"/>
          <w:szCs w:val="18"/>
        </w:rPr>
        <w:t>C</w:t>
      </w:r>
      <w:r w:rsidRPr="00A375E2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18"/>
          <w:szCs w:val="18"/>
        </w:rPr>
        <w:t xml:space="preserve"> is a collaborative wide measure</w:t>
      </w:r>
    </w:p>
    <w:p w14:paraId="1324D3FE" w14:textId="24E8AA02" w:rsidR="009020B8" w:rsidRPr="00A375E2" w:rsidRDefault="009020B8" w:rsidP="00771263">
      <w:pPr>
        <w:spacing w:after="0" w:line="240" w:lineRule="auto"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18"/>
          <w:szCs w:val="18"/>
        </w:rPr>
      </w:pPr>
      <w: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18"/>
          <w:szCs w:val="18"/>
        </w:rPr>
        <w:t>**Measures 1-</w:t>
      </w:r>
      <w:r w:rsidR="00737796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18"/>
          <w:szCs w:val="18"/>
        </w:rPr>
        <w:t>3</w:t>
      </w:r>
      <w: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18"/>
          <w:szCs w:val="18"/>
        </w:rPr>
        <w:t xml:space="preserve"> are participation-based measures and are not adjusted</w:t>
      </w:r>
      <w:r w:rsidR="00C2695A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18"/>
          <w:szCs w:val="18"/>
        </w:rPr>
        <w:t>. Measure 5 is a submission measure and does not have a percentage score.</w:t>
      </w:r>
    </w:p>
    <w:sectPr w:rsidR="009020B8" w:rsidRPr="00A375E2" w:rsidSect="000C4CE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BB44" w14:textId="77777777" w:rsidR="00C9422D" w:rsidRDefault="00C9422D" w:rsidP="00DD4FA4">
      <w:pPr>
        <w:spacing w:after="0" w:line="240" w:lineRule="auto"/>
      </w:pPr>
      <w:r>
        <w:separator/>
      </w:r>
    </w:p>
  </w:endnote>
  <w:endnote w:type="continuationSeparator" w:id="0">
    <w:p w14:paraId="2F097CA6" w14:textId="77777777" w:rsidR="00C9422D" w:rsidRDefault="00C9422D" w:rsidP="00DD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407A" w14:textId="77777777" w:rsidR="00C9422D" w:rsidRDefault="00C9422D" w:rsidP="00DD4FA4">
      <w:pPr>
        <w:spacing w:after="0" w:line="240" w:lineRule="auto"/>
      </w:pPr>
      <w:r>
        <w:separator/>
      </w:r>
    </w:p>
  </w:footnote>
  <w:footnote w:type="continuationSeparator" w:id="0">
    <w:p w14:paraId="7902AE74" w14:textId="77777777" w:rsidR="00C9422D" w:rsidRDefault="00C9422D" w:rsidP="00DD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3987" w14:textId="37D02A21" w:rsidR="002770D0" w:rsidRPr="002770D0" w:rsidRDefault="00B21ADF" w:rsidP="00FA0035">
    <w:pPr>
      <w:pStyle w:val="Title"/>
      <w:rPr>
        <w:b/>
        <w:sz w:val="28"/>
        <w:szCs w:val="28"/>
      </w:rPr>
    </w:pPr>
    <w:r w:rsidRPr="002770D0">
      <w:rPr>
        <w:b/>
        <w:noProof/>
      </w:rPr>
      <w:drawing>
        <wp:anchor distT="0" distB="0" distL="114300" distR="114300" simplePos="0" relativeHeight="251658240" behindDoc="1" locked="0" layoutInCell="1" allowOverlap="1" wp14:anchorId="28023D21" wp14:editId="246EFF46">
          <wp:simplePos x="0" y="0"/>
          <wp:positionH relativeFrom="column">
            <wp:posOffset>5861050</wp:posOffset>
          </wp:positionH>
          <wp:positionV relativeFrom="paragraph">
            <wp:posOffset>-171203</wp:posOffset>
          </wp:positionV>
          <wp:extent cx="855980" cy="494806"/>
          <wp:effectExtent l="0" t="0" r="1270" b="635"/>
          <wp:wrapNone/>
          <wp:docPr id="2" name="Picture 2" descr="Logo of HMS with block letters and the state of Michigan to the right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of HMS with block letters and the state of Michigan to the right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49480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770D0" w:rsidRPr="002770D0">
      <w:rPr>
        <w:b/>
        <w:sz w:val="28"/>
        <w:szCs w:val="28"/>
      </w:rPr>
      <w:t xml:space="preserve">Michigan Hospital Medicine Safety (HMS) Consortium                    </w:t>
    </w:r>
    <w:r w:rsidR="000C4CE1">
      <w:rPr>
        <w:b/>
        <w:sz w:val="28"/>
        <w:szCs w:val="28"/>
      </w:rPr>
      <w:t xml:space="preserve">          </w:t>
    </w:r>
    <w:r w:rsidR="002770D0" w:rsidRPr="002770D0">
      <w:rPr>
        <w:b/>
        <w:sz w:val="28"/>
        <w:szCs w:val="28"/>
      </w:rPr>
      <w:t xml:space="preserve">  </w:t>
    </w:r>
  </w:p>
  <w:p w14:paraId="224EED66" w14:textId="25895622" w:rsidR="00DD4FA4" w:rsidRPr="002770D0" w:rsidRDefault="002770D0" w:rsidP="002770D0">
    <w:pPr>
      <w:pStyle w:val="Title"/>
      <w:rPr>
        <w:b/>
        <w:sz w:val="28"/>
        <w:szCs w:val="28"/>
      </w:rPr>
    </w:pPr>
    <w:r w:rsidRPr="002770D0">
      <w:rPr>
        <w:b/>
        <w:sz w:val="28"/>
        <w:szCs w:val="28"/>
      </w:rPr>
      <w:t xml:space="preserve">Adjusted </w:t>
    </w:r>
    <w:r w:rsidR="00B43CC5">
      <w:rPr>
        <w:b/>
        <w:sz w:val="28"/>
        <w:szCs w:val="28"/>
      </w:rPr>
      <w:t xml:space="preserve">Performance Measurement </w:t>
    </w:r>
    <w:r w:rsidRPr="002770D0">
      <w:rPr>
        <w:b/>
        <w:sz w:val="28"/>
        <w:szCs w:val="28"/>
      </w:rPr>
      <w:t>Method</w:t>
    </w:r>
    <w:r w:rsidR="00B43CC5">
      <w:rPr>
        <w:b/>
        <w:sz w:val="28"/>
        <w:szCs w:val="28"/>
      </w:rPr>
      <w:t>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E546A"/>
    <w:multiLevelType w:val="hybridMultilevel"/>
    <w:tmpl w:val="47FC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37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A4"/>
    <w:rsid w:val="000A3FD8"/>
    <w:rsid w:val="000C4CE1"/>
    <w:rsid w:val="001B59B9"/>
    <w:rsid w:val="001C2577"/>
    <w:rsid w:val="001D5AB1"/>
    <w:rsid w:val="002770D0"/>
    <w:rsid w:val="002A7D3D"/>
    <w:rsid w:val="003142A3"/>
    <w:rsid w:val="00373900"/>
    <w:rsid w:val="0037503C"/>
    <w:rsid w:val="003A5BD1"/>
    <w:rsid w:val="003A7A40"/>
    <w:rsid w:val="00404941"/>
    <w:rsid w:val="004504C5"/>
    <w:rsid w:val="00453CF3"/>
    <w:rsid w:val="004560DB"/>
    <w:rsid w:val="004800C1"/>
    <w:rsid w:val="004D2F85"/>
    <w:rsid w:val="004E1E58"/>
    <w:rsid w:val="00540052"/>
    <w:rsid w:val="00586286"/>
    <w:rsid w:val="005A153D"/>
    <w:rsid w:val="00602573"/>
    <w:rsid w:val="00604D45"/>
    <w:rsid w:val="00644C9B"/>
    <w:rsid w:val="00647546"/>
    <w:rsid w:val="0067607E"/>
    <w:rsid w:val="006B18B3"/>
    <w:rsid w:val="006F0867"/>
    <w:rsid w:val="006F4D44"/>
    <w:rsid w:val="00712C6B"/>
    <w:rsid w:val="0072421D"/>
    <w:rsid w:val="007246E9"/>
    <w:rsid w:val="00737796"/>
    <w:rsid w:val="00771263"/>
    <w:rsid w:val="007B7EB1"/>
    <w:rsid w:val="007C0E79"/>
    <w:rsid w:val="008975A9"/>
    <w:rsid w:val="009020B8"/>
    <w:rsid w:val="00912A59"/>
    <w:rsid w:val="00924139"/>
    <w:rsid w:val="00981D8B"/>
    <w:rsid w:val="009A1517"/>
    <w:rsid w:val="00A1102B"/>
    <w:rsid w:val="00A13E1F"/>
    <w:rsid w:val="00A339D7"/>
    <w:rsid w:val="00A375E2"/>
    <w:rsid w:val="00A613AD"/>
    <w:rsid w:val="00AD45DB"/>
    <w:rsid w:val="00AF257F"/>
    <w:rsid w:val="00AF52AD"/>
    <w:rsid w:val="00B21ADF"/>
    <w:rsid w:val="00B43CC5"/>
    <w:rsid w:val="00C05DBB"/>
    <w:rsid w:val="00C24C3C"/>
    <w:rsid w:val="00C2695A"/>
    <w:rsid w:val="00C4215D"/>
    <w:rsid w:val="00C9422D"/>
    <w:rsid w:val="00CA5D27"/>
    <w:rsid w:val="00D11D40"/>
    <w:rsid w:val="00D301A5"/>
    <w:rsid w:val="00D723C8"/>
    <w:rsid w:val="00D86A9E"/>
    <w:rsid w:val="00DC025E"/>
    <w:rsid w:val="00DD4FA4"/>
    <w:rsid w:val="00DF6282"/>
    <w:rsid w:val="00E436E1"/>
    <w:rsid w:val="00E7052D"/>
    <w:rsid w:val="00F31752"/>
    <w:rsid w:val="00F33144"/>
    <w:rsid w:val="00F760DE"/>
    <w:rsid w:val="00FA0035"/>
    <w:rsid w:val="00FD3751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622887"/>
  <w15:chartTrackingRefBased/>
  <w15:docId w15:val="{D0B0D141-DBC1-47A0-BADD-94DFD57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FA4"/>
  </w:style>
  <w:style w:type="paragraph" w:styleId="Footer">
    <w:name w:val="footer"/>
    <w:basedOn w:val="Normal"/>
    <w:link w:val="FooterChar"/>
    <w:uiPriority w:val="99"/>
    <w:unhideWhenUsed/>
    <w:rsid w:val="00DD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FA4"/>
  </w:style>
  <w:style w:type="paragraph" w:styleId="Title">
    <w:name w:val="Title"/>
    <w:basedOn w:val="Normal"/>
    <w:next w:val="Normal"/>
    <w:link w:val="TitleChar"/>
    <w:uiPriority w:val="10"/>
    <w:qFormat/>
    <w:rsid w:val="00DD4FA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4F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13E1F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0C4CE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6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0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25BEA-C63F-42B1-9213-9DCB5A3A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432</Words>
  <Characters>2622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Elizabeth</dc:creator>
  <cp:keywords/>
  <dc:description/>
  <cp:lastModifiedBy>Minock, Jennifer</cp:lastModifiedBy>
  <cp:revision>13</cp:revision>
  <dcterms:created xsi:type="dcterms:W3CDTF">2022-12-16T19:50:00Z</dcterms:created>
  <dcterms:modified xsi:type="dcterms:W3CDTF">2026-04-14T15:34:00Z</dcterms:modified>
</cp:coreProperties>
</file>